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jc w:val="center"/>
      </w:pPr>
      <w:r>
        <w:rPr>
          <w:rFonts w:ascii="Georgia" w:cs="Georgia" w:eastAsia="Georgia" w:hAnsi="Georgia"/>
          <w:b/>
          <w:bCs/>
          <w:color w:val="1A1A2E"/>
          <w:spacing w:val="40"/>
          <w:sz w:val="34"/>
          <w:szCs w:val="34"/>
        </w:rPr>
        <w:t xml:space="preserve">LEX ARCA</w:t>
      </w:r>
      <w:r>
        <w:rPr>
          <w:rFonts w:ascii="Georgia" w:cs="Georgia" w:eastAsia="Georgia" w:hAnsi="Georgia"/>
          <w:b/>
          <w:bCs/>
          <w:color w:val="C9A84C"/>
          <w:sz w:val="20"/>
          <w:szCs w:val="20"/>
        </w:rPr>
        <w:t xml:space="preserve">™</w:t>
      </w:r>
    </w:p>
    <w:p>
      <w:pPr>
        <w:pBdr>
          <w:bottom w:val="single" w:color="C9A84C" w:sz="6" w:space="8"/>
        </w:pBdr>
        <w:spacing w:after="200"/>
        <w:jc w:val="center"/>
      </w:pPr>
      <w:r>
        <w:rPr>
          <w:rFonts w:ascii="Georgia" w:cs="Georgia" w:eastAsia="Georgia" w:hAnsi="Georgia"/>
          <w:b/>
          <w:bCs/>
          <w:color w:val="C9A84C"/>
          <w:spacing w:val="60"/>
          <w:sz w:val="16"/>
          <w:szCs w:val="16"/>
        </w:rPr>
        <w:t xml:space="preserve">LEGAL VAULT</w:t>
      </w:r>
    </w:p>
    <w:p>
      <w:pPr>
        <w:spacing w:after="100" w:before="200"/>
        <w:jc w:val="center"/>
      </w:pPr>
      <w:r>
        <w:rPr>
          <w:b/>
          <w:bCs/>
          <w:color w:val="1A1A2E"/>
          <w:sz w:val="40"/>
          <w:szCs w:val="40"/>
        </w:rPr>
        <w:t xml:space="preserve">The Five Habits</w:t>
      </w:r>
    </w:p>
    <w:p>
      <w:pPr>
        <w:spacing w:after="320"/>
        <w:jc w:val="center"/>
      </w:pPr>
      <w:r>
        <w:rPr>
          <w:i/>
          <w:iCs/>
          <w:color w:val="00B4D8"/>
          <w:sz w:val="24"/>
          <w:szCs w:val="24"/>
        </w:rPr>
        <w:t xml:space="preserve">A Defensible AI Governance Framework for Any Legal Practice</w:t>
      </w:r>
    </w:p>
    <w:p>
      <w:pPr>
        <w:spacing w:after="160" w:line="300"/>
      </w:pPr>
      <w:r>
        <w:rPr>
          <w:sz w:val="22"/>
          <w:szCs w:val="22"/>
        </w:rPr>
        <w:t xml:space="preserve">These five habits are not tied to any specific platform. They are professional practice habits any attorney can put in place today, with whatever AI tools they already use, to build a defensible AI governance posture — one that holds up under scrutiny from a court, opposing counsel, or a bar disciplinary inquiry.</w:t>
      </w:r>
    </w:p>
    <w:p>
      <w:pPr>
        <w:pBdr>
          <w:left w:val="single" w:color="C9A84C" w:sz="24" w:space="8"/>
        </w:pBdr>
        <w:shd w:fill="1A1A2E" w:val="clear"/>
        <w:spacing w:after="160" w:before="320"/>
      </w:pPr>
      <w:r>
        <w:rPr>
          <w:b/>
          <w:bCs/>
          <w:color w:val="FFFFFF"/>
          <w:sz w:val="26"/>
          <w:szCs w:val="26"/>
        </w:rPr>
        <w:t xml:space="preserve">1.  INDEPENDENT VERIFICATION — THE FOUNDATION</w:t>
      </w:r>
    </w:p>
    <w:p>
      <w:pPr>
        <w:spacing w:after="160" w:line="300"/>
      </w:pPr>
      <w:r>
        <w:rPr>
          <w:sz w:val="22"/>
          <w:szCs w:val="22"/>
        </w:rPr>
        <w:t xml:space="preserve">Verify every AI-generated citation outside the AI ecosystem — in Westlaw, Lexis, or the primary source itself. This is the habit courts have most consistently enforced, and the one most sanctions decisions turn on.</w:t>
      </w:r>
    </w:p>
    <w:p>
      <w:pPr>
        <w:spacing w:after="90"/>
        <w:ind w:left="260"/>
      </w:pPr>
      <w:r>
        <w:rPr>
          <w:b/>
          <w:bCs/>
          <w:color w:val="C9A84C"/>
          <w:sz w:val="22"/>
          <w:szCs w:val="22"/>
        </w:rPr>
        <w:t xml:space="preserve">— </w:t>
      </w:r>
      <w:r>
        <w:rPr>
          <w:sz w:val="22"/>
          <w:szCs w:val="22"/>
        </w:rPr>
        <w:t xml:space="preserve">Open the actual case or source the AI cited. Confirm it exists.</w:t>
      </w:r>
    </w:p>
    <w:p>
      <w:pPr>
        <w:spacing w:after="90"/>
        <w:ind w:left="260"/>
      </w:pPr>
      <w:r>
        <w:rPr>
          <w:b/>
          <w:bCs/>
          <w:color w:val="C9A84C"/>
          <w:sz w:val="22"/>
          <w:szCs w:val="22"/>
        </w:rPr>
        <w:t xml:space="preserve">— </w:t>
      </w:r>
      <w:r>
        <w:rPr>
          <w:sz w:val="22"/>
          <w:szCs w:val="22"/>
        </w:rPr>
        <w:t xml:space="preserve">Confirm the quoted language actually appears in the source.</w:t>
      </w:r>
    </w:p>
    <w:p>
      <w:pPr>
        <w:spacing w:after="90"/>
        <w:ind w:left="260"/>
      </w:pPr>
      <w:r>
        <w:rPr>
          <w:b/>
          <w:bCs/>
          <w:color w:val="C9A84C"/>
          <w:sz w:val="22"/>
          <w:szCs w:val="22"/>
        </w:rPr>
        <w:t xml:space="preserve">— </w:t>
      </w:r>
      <w:r>
        <w:rPr>
          <w:sz w:val="22"/>
          <w:szCs w:val="22"/>
        </w:rPr>
        <w:t xml:space="preserve">Confirm the source stands for the proposition the AI cited it for.</w:t>
      </w:r>
    </w:p>
    <w:p>
      <w:pPr>
        <w:spacing w:after="90"/>
        <w:ind w:left="260"/>
      </w:pPr>
      <w:r>
        <w:rPr>
          <w:b/>
          <w:bCs/>
          <w:color w:val="C9A84C"/>
          <w:sz w:val="22"/>
          <w:szCs w:val="22"/>
        </w:rPr>
        <w:t xml:space="preserve">— </w:t>
      </w:r>
      <w:r>
        <w:rPr>
          <w:sz w:val="22"/>
          <w:szCs w:val="22"/>
        </w:rPr>
        <w:t xml:space="preserve">Do this for every citation in a filing — not a sample, not 'the ones that look uncertain.'</w:t>
      </w:r>
    </w:p>
    <w:p>
      <w:pPr>
        <w:spacing w:after="90"/>
        <w:ind w:left="260"/>
      </w:pPr>
      <w:r>
        <w:rPr>
          <w:b/>
          <w:bCs/>
          <w:color w:val="C9A84C"/>
          <w:sz w:val="22"/>
          <w:szCs w:val="22"/>
        </w:rPr>
        <w:t xml:space="preserve">— </w:t>
      </w:r>
      <w:r>
        <w:rPr>
          <w:sz w:val="22"/>
          <w:szCs w:val="22"/>
        </w:rPr>
        <w:t xml:space="preserve">Never verify by re-asking the same AI tool, or a different AI tool. That is automated review, not independent verification.</w:t>
      </w:r>
    </w:p>
    <w:p>
      <w:pPr>
        <w:pBdr>
          <w:left w:val="single" w:color="C9A84C" w:sz="24" w:space="8"/>
        </w:pBdr>
        <w:shd w:fill="1A1A2E" w:val="clear"/>
        <w:spacing w:after="160" w:before="320"/>
      </w:pPr>
      <w:r>
        <w:rPr>
          <w:b/>
          <w:bCs/>
          <w:color w:val="FFFFFF"/>
          <w:sz w:val="26"/>
          <w:szCs w:val="26"/>
        </w:rPr>
        <w:t xml:space="preserve">2.  STANDING ORDERS — THE JURISDICTIONAL LAYER</w:t>
      </w:r>
    </w:p>
    <w:p>
      <w:pPr>
        <w:spacing w:after="160" w:line="300"/>
      </w:pPr>
      <w:r>
        <w:rPr>
          <w:sz w:val="22"/>
          <w:szCs w:val="22"/>
        </w:rPr>
        <w:t xml:space="preserve">Know your specific judge's rules before you file. More than 300 federal and state courts have issued AI-specific standing orders, and they are not uniform — some require disclosure of AI use, some require certification of manual verification, some restrict AI use outright.</w:t>
      </w:r>
    </w:p>
    <w:p>
      <w:pPr>
        <w:spacing w:after="90"/>
        <w:ind w:left="260"/>
      </w:pPr>
      <w:r>
        <w:rPr>
          <w:b/>
          <w:bCs/>
          <w:color w:val="C9A84C"/>
          <w:sz w:val="22"/>
          <w:szCs w:val="22"/>
        </w:rPr>
        <w:t xml:space="preserve">— </w:t>
      </w:r>
      <w:r>
        <w:rPr>
          <w:sz w:val="22"/>
          <w:szCs w:val="22"/>
        </w:rPr>
        <w:t xml:space="preserve">Check the standing order for the specific judge and court before every AI-assisted filing.</w:t>
      </w:r>
    </w:p>
    <w:p>
      <w:pPr>
        <w:spacing w:after="90"/>
        <w:ind w:left="260"/>
      </w:pPr>
      <w:r>
        <w:rPr>
          <w:b/>
          <w:bCs/>
          <w:color w:val="C9A84C"/>
          <w:sz w:val="22"/>
          <w:szCs w:val="22"/>
        </w:rPr>
        <w:t xml:space="preserve">— </w:t>
      </w:r>
      <w:r>
        <w:rPr>
          <w:sz w:val="22"/>
          <w:szCs w:val="22"/>
        </w:rPr>
        <w:t xml:space="preserve">Do not assume your state's general rules cover what a specific court requires.</w:t>
      </w:r>
    </w:p>
    <w:p>
      <w:pPr>
        <w:spacing w:after="90"/>
        <w:ind w:left="260"/>
      </w:pPr>
      <w:r>
        <w:rPr>
          <w:b/>
          <w:bCs/>
          <w:color w:val="C9A84C"/>
          <w:sz w:val="22"/>
          <w:szCs w:val="22"/>
        </w:rPr>
        <w:t xml:space="preserve">— </w:t>
      </w:r>
      <w:r>
        <w:rPr>
          <w:sz w:val="22"/>
          <w:szCs w:val="22"/>
        </w:rPr>
        <w:t xml:space="preserve">Re-check periodically — this is a fast-moving area, and orders are still being issued.</w:t>
      </w:r>
    </w:p>
    <w:p>
      <w:pPr>
        <w:pBdr>
          <w:left w:val="single" w:color="C9A84C" w:sz="24" w:space="8"/>
        </w:pBdr>
        <w:shd w:fill="1A1A2E" w:val="clear"/>
        <w:spacing w:after="160" w:before="320"/>
      </w:pPr>
      <w:r>
        <w:rPr>
          <w:b/>
          <w:bCs/>
          <w:color w:val="FFFFFF"/>
          <w:sz w:val="26"/>
          <w:szCs w:val="26"/>
        </w:rPr>
        <w:t xml:space="preserve">3.  GOVERNING RULES — THE REGULATORY LAYER</w:t>
      </w:r>
    </w:p>
    <w:p>
      <w:pPr>
        <w:spacing w:after="160" w:line="300"/>
      </w:pPr>
      <w:r>
        <w:rPr>
          <w:sz w:val="22"/>
          <w:szCs w:val="22"/>
        </w:rPr>
        <w:t xml:space="preserve">Know your state's specific professional conduct posture on AI. Frameworks differ meaningfully by jurisdiction, and several states are actively moving from advisory guidance toward binding rule.</w:t>
      </w:r>
    </w:p>
    <w:p>
      <w:pPr>
        <w:spacing w:after="90"/>
        <w:ind w:left="260"/>
      </w:pPr>
      <w:r>
        <w:rPr>
          <w:b/>
          <w:bCs/>
          <w:color w:val="C9A84C"/>
          <w:sz w:val="22"/>
          <w:szCs w:val="22"/>
        </w:rPr>
        <w:t xml:space="preserve">— </w:t>
      </w:r>
      <w:r>
        <w:rPr>
          <w:sz w:val="22"/>
          <w:szCs w:val="22"/>
        </w:rPr>
        <w:t xml:space="preserve">Identify whether your state has issued a formal ethics opinion, advisory guidance, or no guidance at all.</w:t>
      </w:r>
    </w:p>
    <w:p>
      <w:pPr>
        <w:spacing w:after="90"/>
        <w:ind w:left="260"/>
      </w:pPr>
      <w:r>
        <w:rPr>
          <w:b/>
          <w:bCs/>
          <w:color w:val="C9A84C"/>
          <w:sz w:val="22"/>
          <w:szCs w:val="22"/>
        </w:rPr>
        <w:t xml:space="preserve">— </w:t>
      </w:r>
      <w:r>
        <w:rPr>
          <w:sz w:val="22"/>
          <w:szCs w:val="22"/>
        </w:rPr>
        <w:t xml:space="preserve">Track whether your state is in active rulemaking (as several currently are).</w:t>
      </w:r>
    </w:p>
    <w:p>
      <w:pPr>
        <w:spacing w:after="90"/>
        <w:ind w:left="260"/>
      </w:pPr>
      <w:r>
        <w:rPr>
          <w:b/>
          <w:bCs/>
          <w:color w:val="C9A84C"/>
          <w:sz w:val="22"/>
          <w:szCs w:val="22"/>
        </w:rPr>
        <w:t xml:space="preserve">— </w:t>
      </w:r>
      <w:r>
        <w:rPr>
          <w:sz w:val="22"/>
          <w:szCs w:val="22"/>
        </w:rPr>
        <w:t xml:space="preserve">Remember: the absence of a formal opinion does not suspend your existing duties of competence and candor. Courts have enforced those duties even where the bar has been silent.</w:t>
      </w:r>
    </w:p>
    <w:p>
      <w:pPr>
        <w:pBdr>
          <w:left w:val="single" w:color="C9A84C" w:sz="24" w:space="8"/>
        </w:pBdr>
        <w:shd w:fill="1A1A2E" w:val="clear"/>
        <w:spacing w:after="160" w:before="320"/>
      </w:pPr>
      <w:r>
        <w:rPr>
          <w:b/>
          <w:bCs/>
          <w:color w:val="FFFFFF"/>
          <w:sz w:val="26"/>
          <w:szCs w:val="26"/>
        </w:rPr>
        <w:t xml:space="preserve">4.  DOCUMENTED VERIFICATION — THE EVIDENCE LAYER</w:t>
      </w:r>
    </w:p>
    <w:p>
      <w:pPr>
        <w:spacing w:after="160" w:line="300"/>
      </w:pPr>
      <w:r>
        <w:rPr>
          <w:sz w:val="22"/>
          <w:szCs w:val="22"/>
        </w:rPr>
        <w:t xml:space="preserve">Maintain an actual record of your verification process. An argument that you verified something is not the same as a record that you verified it — and under adversarial conditions, only the record holds up.</w:t>
      </w:r>
    </w:p>
    <w:p>
      <w:pPr>
        <w:spacing w:after="90"/>
        <w:ind w:left="260"/>
      </w:pPr>
      <w:r>
        <w:rPr>
          <w:b/>
          <w:bCs/>
          <w:color w:val="C9A84C"/>
          <w:sz w:val="22"/>
          <w:szCs w:val="22"/>
        </w:rPr>
        <w:t xml:space="preserve">— </w:t>
      </w:r>
      <w:r>
        <w:rPr>
          <w:sz w:val="22"/>
          <w:szCs w:val="22"/>
        </w:rPr>
        <w:t xml:space="preserve">Log which citations were checked, in which database, and on what date, for each filing.</w:t>
      </w:r>
    </w:p>
    <w:p>
      <w:pPr>
        <w:spacing w:after="90"/>
        <w:ind w:left="260"/>
      </w:pPr>
      <w:r>
        <w:rPr>
          <w:b/>
          <w:bCs/>
          <w:color w:val="C9A84C"/>
          <w:sz w:val="22"/>
          <w:szCs w:val="22"/>
        </w:rPr>
        <w:t xml:space="preserve">— </w:t>
      </w:r>
      <w:r>
        <w:rPr>
          <w:sz w:val="22"/>
          <w:szCs w:val="22"/>
        </w:rPr>
        <w:t xml:space="preserve">Save search history or confirmation pages as they occur — don't reconstruct from memory later.</w:t>
      </w:r>
    </w:p>
    <w:p>
      <w:pPr>
        <w:spacing w:after="90"/>
        <w:ind w:left="260"/>
      </w:pPr>
      <w:r>
        <w:rPr>
          <w:b/>
          <w:bCs/>
          <w:color w:val="C9A84C"/>
          <w:sz w:val="22"/>
          <w:szCs w:val="22"/>
        </w:rPr>
        <w:t xml:space="preserve">— </w:t>
      </w:r>
      <w:r>
        <w:rPr>
          <w:sz w:val="22"/>
          <w:szCs w:val="22"/>
        </w:rPr>
        <w:t xml:space="preserve">Keep the record simple enough to maintain consistently. A brief matter-file note is sufficient; it just has to exist.</w:t>
      </w:r>
    </w:p>
    <w:p>
      <w:pPr>
        <w:pBdr>
          <w:left w:val="single" w:color="C9A84C" w:sz="24" w:space="8"/>
        </w:pBdr>
        <w:shd w:fill="1A1A2E" w:val="clear"/>
        <w:spacing w:after="160" w:before="320"/>
      </w:pPr>
      <w:r>
        <w:rPr>
          <w:b/>
          <w:bCs/>
          <w:color w:val="FFFFFF"/>
          <w:sz w:val="26"/>
          <w:szCs w:val="26"/>
        </w:rPr>
        <w:t xml:space="preserve">5.  VENDOR TRANSPARENCY — THE INFRASTRUCTURE LAYER</w:t>
      </w:r>
    </w:p>
    <w:p>
      <w:pPr>
        <w:spacing w:after="160" w:line="300"/>
      </w:pPr>
      <w:r>
        <w:rPr>
          <w:sz w:val="22"/>
          <w:szCs w:val="22"/>
        </w:rPr>
        <w:t xml:space="preserve">Know exactly where your client data is processed during AI inference — not just where it's stored. Encryption and storage location tell you nothing about what happens during the moment your data is actively used by a model.</w:t>
      </w:r>
    </w:p>
    <w:p>
      <w:pPr>
        <w:spacing w:after="90"/>
        <w:ind w:left="260"/>
      </w:pPr>
      <w:r>
        <w:rPr>
          <w:b/>
          <w:bCs/>
          <w:color w:val="C9A84C"/>
          <w:sz w:val="22"/>
          <w:szCs w:val="22"/>
        </w:rPr>
        <w:t xml:space="preserve">— </w:t>
      </w:r>
      <w:r>
        <w:rPr>
          <w:sz w:val="22"/>
          <w:szCs w:val="22"/>
        </w:rPr>
        <w:t xml:space="preserve">Ask your vendor: where does processing happen, and on whose infrastructure?</w:t>
      </w:r>
    </w:p>
    <w:p>
      <w:pPr>
        <w:spacing w:after="90"/>
        <w:ind w:left="260"/>
      </w:pPr>
      <w:r>
        <w:rPr>
          <w:b/>
          <w:bCs/>
          <w:color w:val="C9A84C"/>
          <w:sz w:val="22"/>
          <w:szCs w:val="22"/>
        </w:rPr>
        <w:t xml:space="preserve">— </w:t>
      </w:r>
      <w:r>
        <w:rPr>
          <w:sz w:val="22"/>
          <w:szCs w:val="22"/>
        </w:rPr>
        <w:t xml:space="preserve">Ask: is a third-party model API provider involved, and what are their data retention and use policies?</w:t>
      </w:r>
    </w:p>
    <w:p>
      <w:pPr>
        <w:spacing w:after="90"/>
        <w:ind w:left="260"/>
      </w:pPr>
      <w:r>
        <w:rPr>
          <w:b/>
          <w:bCs/>
          <w:color w:val="C9A84C"/>
          <w:sz w:val="22"/>
          <w:szCs w:val="22"/>
        </w:rPr>
        <w:t xml:space="preserve">— </w:t>
      </w:r>
      <w:r>
        <w:rPr>
          <w:sz w:val="22"/>
          <w:szCs w:val="22"/>
        </w:rPr>
        <w:t xml:space="preserve">Watch for vendors who answer a compute-location question with an encryption statement — that redirection is itself information.</w:t>
      </w:r>
    </w:p>
    <w:p>
      <w:pPr>
        <w:spacing w:after="90"/>
        <w:ind w:left="260"/>
      </w:pPr>
      <w:r>
        <w:rPr>
          <w:b/>
          <w:bCs/>
          <w:color w:val="C9A84C"/>
          <w:sz w:val="22"/>
          <w:szCs w:val="22"/>
        </w:rPr>
        <w:t xml:space="preserve">— </w:t>
      </w:r>
      <w:r>
        <w:rPr>
          <w:sz w:val="22"/>
          <w:szCs w:val="22"/>
        </w:rPr>
        <w:t xml:space="preserve">If the vendor cannot answer clearly, treat that as an answer and factor it into your evaluation.</w:t>
      </w:r>
    </w:p>
    <w:p>
      <w:pPr>
        <w:spacing w:before="200"/>
      </w:pPr>
      <w:r>
        <w:t xml:space="preserve"/>
      </w:r>
    </w:p>
    <w:p>
      <w:pPr>
        <w:pBdr>
          <w:top w:val="single" w:color="00B4D8" w:sz="8" w:space="12"/>
          <w:bottom w:val="single" w:color="00B4D8" w:sz="8" w:space="12"/>
        </w:pBdr>
        <w:spacing w:after="300" w:before="100"/>
      </w:pPr>
      <w:r>
        <w:rPr>
          <w:i/>
          <w:iCs/>
          <w:color w:val="1A1A2E"/>
          <w:sz w:val="22"/>
          <w:szCs w:val="22"/>
        </w:rPr>
        <w:t xml:space="preserve">These habits require no new tools, no new software, and no budget approval. They are five changes to how you interact with whatever you already have — implementable starting Monday morning.</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c>
          <w:tcPr>
            <w:shd w:fill="1A1A2E" w:val="clear"/>
            <w:tcMar>
              <w:top w:type="dxa" w:w="100"/>
              <w:left w:type="dxa" w:w="100"/>
              <w:bottom w:type="dxa" w:w="100"/>
              <w:right w:type="dxa" w:w="100"/>
            </w:tcMar>
          </w:tcPr>
          <w:p>
            <w:pPr>
              <w:spacing w:after="160" w:before="160"/>
              <w:jc w:val="center"/>
            </w:pPr>
            <w:r>
              <w:rPr>
                <w:rFonts w:ascii="Georgia" w:cs="Georgia" w:eastAsia="Georgia" w:hAnsi="Georgia"/>
                <w:b/>
                <w:bCs/>
                <w:color w:val="C9A84C"/>
                <w:spacing w:val="20"/>
                <w:sz w:val="18"/>
                <w:szCs w:val="18"/>
              </w:rPr>
              <w:t xml:space="preserve">LEX ARCA</w:t>
            </w:r>
            <w:r>
              <w:rPr>
                <w:color w:val="C9A84C"/>
                <w:sz w:val="12"/>
                <w:szCs w:val="12"/>
              </w:rPr>
              <w:t xml:space="preserve">™</w:t>
            </w:r>
            <w:r>
              <w:rPr>
                <w:color w:val="E8E8E8"/>
                <w:sz w:val="16"/>
                <w:szCs w:val="16"/>
              </w:rPr>
              <w:t xml:space="preserve">  LEGAL VAULT   |   lex-arca.com   |   © 2026 Kim M Harris. All rights reserved.</w:t>
            </w:r>
          </w:p>
        </w:tc>
      </w:tr>
    </w:tbl>
    <w:sectPr>
      <w:pgSz w:w="11906" w:h="16838" w:orient="portrait"/>
      <w:pgMar w:top="900" w:right="1080" w:bottom="9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2026-08-11T03:00:10.494Z</dcterms:created>
  <dcterms:modified xsi:type="dcterms:W3CDTF">2026-08-11T03:00:10.497Z</dcterms:modified>
</cp:coreProperties>
</file>

<file path=docProps/custom.xml><?xml version="1.0" encoding="utf-8"?>
<Properties xmlns="http://schemas.openxmlformats.org/officeDocument/2006/custom-properties" xmlns:vt="http://schemas.openxmlformats.org/officeDocument/2006/docPropsVTypes"/>
</file>