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Georgia" w:cs="Georgia" w:eastAsia="Georgia" w:hAnsi="Georgia"/>
          <w:b/>
          <w:bCs/>
          <w:color w:val="1A1A2E"/>
          <w:spacing w:val="40"/>
          <w:sz w:val="34"/>
          <w:szCs w:val="34"/>
        </w:rPr>
        <w:t xml:space="preserve">LEX ARCA</w:t>
      </w:r>
      <w:r>
        <w:rPr>
          <w:rFonts w:ascii="Georgia" w:cs="Georgia" w:eastAsia="Georgia" w:hAnsi="Georgia"/>
          <w:b/>
          <w:bCs/>
          <w:color w:val="C9A84C"/>
          <w:sz w:val="20"/>
          <w:szCs w:val="20"/>
        </w:rPr>
        <w:t xml:space="preserve">™</w:t>
      </w:r>
    </w:p>
    <w:p>
      <w:pPr>
        <w:pBdr>
          <w:bottom w:val="single" w:color="C9A84C" w:sz="6" w:space="8"/>
        </w:pBdr>
        <w:spacing w:after="200"/>
        <w:jc w:val="center"/>
      </w:pPr>
      <w:r>
        <w:rPr>
          <w:rFonts w:ascii="Georgia" w:cs="Georgia" w:eastAsia="Georgia" w:hAnsi="Georgia"/>
          <w:b/>
          <w:bCs/>
          <w:color w:val="C9A84C"/>
          <w:spacing w:val="60"/>
          <w:sz w:val="16"/>
          <w:szCs w:val="16"/>
        </w:rPr>
        <w:t xml:space="preserve">LEGAL VAULT</w:t>
      </w:r>
    </w:p>
    <w:p>
      <w:pPr>
        <w:spacing w:after="100" w:before="200"/>
        <w:jc w:val="center"/>
      </w:pPr>
      <w:r>
        <w:rPr>
          <w:b/>
          <w:bCs/>
          <w:color w:val="1A1A2E"/>
          <w:sz w:val="40"/>
          <w:szCs w:val="40"/>
        </w:rPr>
        <w:t xml:space="preserve">State Bar AI Guidance Reference</w:t>
      </w:r>
    </w:p>
    <w:p>
      <w:pPr>
        <w:spacing w:after="320"/>
        <w:jc w:val="center"/>
      </w:pPr>
      <w:r>
        <w:rPr>
          <w:i/>
          <w:iCs/>
          <w:color w:val="00B4D8"/>
          <w:sz w:val="24"/>
          <w:szCs w:val="24"/>
        </w:rPr>
        <w:t xml:space="preserve">California  |  Texas  |  Nevada  |  Oregon</w:t>
      </w:r>
    </w:p>
    <w:p>
      <w:pPr>
        <w:spacing w:after="140" w:line="300"/>
      </w:pPr>
      <w:r>
        <w:rPr>
          <w:sz w:val="22"/>
          <w:szCs w:val="22"/>
        </w:rPr>
        <w:t xml:space="preserve">This reference summarizes the current AI-specific guidance (or absence of it) in the jurisdictions covered in this session, as of mid-2026. This area is moving quickly — treat this as a starting point, and verify current status before relying on it for a specific matter.</w:t>
      </w:r>
    </w:p>
    <w:p>
      <w:pPr>
        <w:pBdr>
          <w:left w:val="single" w:color="C9A84C" w:sz="24" w:space="8"/>
        </w:pBdr>
        <w:shd w:fill="1A1A2E" w:val="clear"/>
        <w:spacing w:after="160" w:before="320"/>
      </w:pPr>
      <w:r>
        <w:rPr>
          <w:b/>
          <w:bCs/>
          <w:color w:val="FFFFFF"/>
          <w:sz w:val="26"/>
          <w:szCs w:val="26"/>
        </w:rPr>
        <w:t xml:space="preserve">CALIFORNIA</w:t>
      </w:r>
    </w:p>
    <w:p>
      <w:pPr>
        <w:spacing w:after="100"/>
      </w:pPr>
      <w:r>
        <w:rPr>
          <w:b/>
          <w:bCs/>
          <w:color w:val="C9A84C"/>
          <w:sz w:val="19"/>
          <w:szCs w:val="19"/>
        </w:rPr>
        <w:t xml:space="preserve">STATUS  </w:t>
      </w:r>
      <w:r>
        <w:rPr>
          <w:sz w:val="21"/>
          <w:szCs w:val="21"/>
        </w:rPr>
        <w:t xml:space="preserve">Active rulemaking — binding rules pending final adoption</w:t>
      </w:r>
    </w:p>
    <w:p>
      <w:pPr>
        <w:spacing w:after="100"/>
      </w:pPr>
      <w:r>
        <w:rPr>
          <w:b/>
          <w:bCs/>
          <w:color w:val="C9A84C"/>
          <w:sz w:val="19"/>
          <w:szCs w:val="19"/>
        </w:rPr>
        <w:t xml:space="preserve">GOVERNING AUTHORITY  </w:t>
      </w:r>
      <w:r>
        <w:rPr>
          <w:sz w:val="21"/>
          <w:szCs w:val="21"/>
        </w:rPr>
        <w:t xml:space="preserve">COPRAC Practical Guidance for the Use of Generative AI in the Practice of Law (Nov. 2023, updated May 14, 2026); proposed amendments to Rules 1.1, 1.4, 1.6, 3.3, 5.1, and 5.3 approved by COPRAC March 13, 2026</w:t>
      </w:r>
    </w:p>
    <w:p>
      <w:pPr>
        <w:spacing w:after="100"/>
      </w:pPr>
      <w:r>
        <w:rPr>
          <w:b/>
          <w:bCs/>
          <w:color w:val="C9A84C"/>
          <w:sz w:val="19"/>
          <w:szCs w:val="19"/>
        </w:rPr>
        <w:t xml:space="preserve">KEY OBLIGATIONS  </w:t>
      </w:r>
      <w:r>
        <w:rPr>
          <w:sz w:val="21"/>
          <w:szCs w:val="21"/>
        </w:rPr>
        <w:t xml:space="preserve">If adopted, the amendments would require independent review and verification of all AI output, disclosure of AI use in certain circumstances, confidentiality vetting of AI vendors, and supervisory responsibility extending to AI tools used by subordinate attorneys and staff.</w:t>
      </w:r>
    </w:p>
    <w:p>
      <w:pPr>
        <w:spacing w:after="100"/>
      </w:pPr>
      <w:r>
        <w:rPr>
          <w:b/>
          <w:bCs/>
          <w:color w:val="C9A84C"/>
          <w:sz w:val="19"/>
          <w:szCs w:val="19"/>
        </w:rPr>
        <w:t xml:space="preserve">PRACTICAL POSTURE  </w:t>
      </w:r>
      <w:r>
        <w:rPr>
          <w:sz w:val="21"/>
          <w:szCs w:val="21"/>
        </w:rPr>
        <w:t xml:space="preserve">The 2023 Practical Guidance is the current operative standard of care regardless of whether the binding amendments are ultimately adopted. Do not wait for final adoption to build a verification and disclosure practice.</w:t>
      </w:r>
    </w:p>
    <w:p>
      <w:pPr>
        <w:spacing w:after="100"/>
      </w:pPr>
      <w:r>
        <w:rPr>
          <w:b/>
          <w:bCs/>
          <w:color w:val="C9A84C"/>
          <w:sz w:val="19"/>
          <w:szCs w:val="19"/>
        </w:rPr>
        <w:t xml:space="preserve">ILLUSTRATIVE SANCTIONS CASE(S)  </w:t>
      </w:r>
      <w:r>
        <w:rPr>
          <w:sz w:val="21"/>
          <w:szCs w:val="21"/>
        </w:rPr>
        <w:t xml:space="preserve">Noland v. Land of the Free — California Court of Appeal, September 2025: $10,000 sanction for a brief built substantially on fabricated AI-generated citations.</w:t>
      </w:r>
    </w:p>
    <w:p>
      <w:pPr>
        <w:pBdr>
          <w:left w:val="single" w:color="C9A84C" w:sz="24" w:space="8"/>
        </w:pBdr>
        <w:shd w:fill="1A1A2E" w:val="clear"/>
        <w:spacing w:after="160" w:before="320"/>
      </w:pPr>
      <w:r>
        <w:rPr>
          <w:b/>
          <w:bCs/>
          <w:color w:val="FFFFFF"/>
          <w:sz w:val="26"/>
          <w:szCs w:val="26"/>
        </w:rPr>
        <w:t xml:space="preserve">TEXAS</w:t>
      </w:r>
    </w:p>
    <w:p>
      <w:pPr>
        <w:spacing w:after="100"/>
      </w:pPr>
      <w:r>
        <w:rPr>
          <w:b/>
          <w:bCs/>
          <w:color w:val="C9A84C"/>
          <w:sz w:val="19"/>
          <w:szCs w:val="19"/>
        </w:rPr>
        <w:t xml:space="preserve">STATUS  </w:t>
      </w:r>
      <w:r>
        <w:rPr>
          <w:sz w:val="21"/>
          <w:szCs w:val="21"/>
        </w:rPr>
        <w:t xml:space="preserve">Formal ethics opinion in effect; separate AI statute layered on top</w:t>
      </w:r>
    </w:p>
    <w:p>
      <w:pPr>
        <w:spacing w:after="100"/>
      </w:pPr>
      <w:r>
        <w:rPr>
          <w:b/>
          <w:bCs/>
          <w:color w:val="C9A84C"/>
          <w:sz w:val="19"/>
          <w:szCs w:val="19"/>
        </w:rPr>
        <w:t xml:space="preserve">GOVERNING AUTHORITY  </w:t>
      </w:r>
      <w:r>
        <w:rPr>
          <w:sz w:val="21"/>
          <w:szCs w:val="21"/>
        </w:rPr>
        <w:t xml:space="preserve">State Bar of Texas Professional Ethics Committee, Opinion No. 705 (February 2025); Texas Responsible AI Governance Act (TRAIGA), with an Attorney General complaint portal expected to go live September 2026</w:t>
      </w:r>
    </w:p>
    <w:p>
      <w:pPr>
        <w:spacing w:after="100"/>
      </w:pPr>
      <w:r>
        <w:rPr>
          <w:b/>
          <w:bCs/>
          <w:color w:val="C9A84C"/>
          <w:sz w:val="19"/>
          <w:szCs w:val="19"/>
        </w:rPr>
        <w:t xml:space="preserve">KEY OBLIGATIONS  </w:t>
      </w:r>
      <w:r>
        <w:rPr>
          <w:sz w:val="21"/>
          <w:szCs w:val="21"/>
        </w:rPr>
        <w:t xml:space="preserve">Mandatory human review of all AI-generated work product; independent verification of AI-generated citations and facts; technological competence before using generative AI; safeguarding client confidences when using third-party AI tools; no billing clients for time genuinely saved by AI.</w:t>
      </w:r>
    </w:p>
    <w:p>
      <w:pPr>
        <w:spacing w:after="100"/>
      </w:pPr>
      <w:r>
        <w:rPr>
          <w:b/>
          <w:bCs/>
          <w:color w:val="C9A84C"/>
          <w:sz w:val="19"/>
          <w:szCs w:val="19"/>
        </w:rPr>
        <w:t xml:space="preserve">PRACTICAL POSTURE  </w:t>
      </w:r>
      <w:r>
        <w:rPr>
          <w:sz w:val="21"/>
          <w:szCs w:val="21"/>
        </w:rPr>
        <w:t xml:space="preserve">Opinion 705 does not restrict AI use — it conditions it on verification and disclosure. Individual federal districts within Texas (including the Northern and Southern Districts) have their own standing orders on AI disclosure that go beyond Opinion 705 and do not always align with each other — check the specific court.</w:t>
      </w:r>
    </w:p>
    <w:p>
      <w:pPr>
        <w:spacing w:after="100"/>
      </w:pPr>
      <w:r>
        <w:rPr>
          <w:b/>
          <w:bCs/>
          <w:color w:val="C9A84C"/>
          <w:sz w:val="19"/>
          <w:szCs w:val="19"/>
        </w:rPr>
        <w:t xml:space="preserve">ILLUSTRATIVE SANCTIONS CASE(S)  </w:t>
      </w:r>
      <w:r>
        <w:rPr>
          <w:sz w:val="21"/>
          <w:szCs w:val="21"/>
        </w:rPr>
        <w:t xml:space="preserve">Gauthier v. Goodyear Tire &amp; Rubber Co. (E.D. Tex.) — sanctions imposed for AI-generated filing errors, predating Opinion 705.</w:t>
      </w:r>
    </w:p>
    <w:p>
      <w:pPr>
        <w:pBdr>
          <w:left w:val="single" w:color="C9A84C" w:sz="24" w:space="8"/>
        </w:pBdr>
        <w:shd w:fill="1A1A2E" w:val="clear"/>
        <w:spacing w:after="160" w:before="320"/>
      </w:pPr>
      <w:r>
        <w:rPr>
          <w:b/>
          <w:bCs/>
          <w:color w:val="FFFFFF"/>
          <w:sz w:val="26"/>
          <w:szCs w:val="26"/>
        </w:rPr>
        <w:t xml:space="preserve">NEVADA</w:t>
      </w:r>
    </w:p>
    <w:p>
      <w:pPr>
        <w:spacing w:after="100"/>
      </w:pPr>
      <w:r>
        <w:rPr>
          <w:b/>
          <w:bCs/>
          <w:color w:val="C9A84C"/>
          <w:sz w:val="19"/>
          <w:szCs w:val="19"/>
        </w:rPr>
        <w:t xml:space="preserve">STATUS  </w:t>
      </w:r>
      <w:r>
        <w:rPr>
          <w:sz w:val="21"/>
          <w:szCs w:val="21"/>
        </w:rPr>
        <w:t xml:space="preserve">No formal bar guidance — advisory group still studying</w:t>
      </w:r>
    </w:p>
    <w:p>
      <w:pPr>
        <w:spacing w:after="100"/>
      </w:pPr>
      <w:r>
        <w:rPr>
          <w:b/>
          <w:bCs/>
          <w:color w:val="C9A84C"/>
          <w:sz w:val="19"/>
          <w:szCs w:val="19"/>
        </w:rPr>
        <w:t xml:space="preserve">GOVERNING AUTHORITY  </w:t>
      </w:r>
      <w:r>
        <w:rPr>
          <w:sz w:val="21"/>
          <w:szCs w:val="21"/>
        </w:rPr>
        <w:t xml:space="preserve">State Bar of Nevada AI Advisory Group, formed 2024; no formal ethics opinion, published guideline, or binding recommendation issued to date</w:t>
      </w:r>
    </w:p>
    <w:p>
      <w:pPr>
        <w:spacing w:after="100"/>
      </w:pPr>
      <w:r>
        <w:rPr>
          <w:b/>
          <w:bCs/>
          <w:color w:val="C9A84C"/>
          <w:sz w:val="19"/>
          <w:szCs w:val="19"/>
        </w:rPr>
        <w:t xml:space="preserve">KEY OBLIGATIONS  </w:t>
      </w:r>
      <w:r>
        <w:rPr>
          <w:sz w:val="21"/>
          <w:szCs w:val="21"/>
        </w:rPr>
        <w:t xml:space="preserve">In the absence of AI-specific guidance, the existing Nevada Rules of Professional Conduct apply directly — competence (NRPC 1.1, including the technology-competence comment), confidentiality (NRPC 1.6), reasonable fees (NRPC 1.5), and supervision (NRPC 5.3) all extend fully to AI use.</w:t>
      </w:r>
    </w:p>
    <w:p>
      <w:pPr>
        <w:spacing w:after="100"/>
      </w:pPr>
      <w:r>
        <w:rPr>
          <w:b/>
          <w:bCs/>
          <w:color w:val="C9A84C"/>
          <w:sz w:val="19"/>
          <w:szCs w:val="19"/>
        </w:rPr>
        <w:t xml:space="preserve">PRACTICAL POSTURE  </w:t>
      </w:r>
      <w:r>
        <w:rPr>
          <w:sz w:val="21"/>
          <w:szCs w:val="21"/>
        </w:rPr>
        <w:t xml:space="preserve">Bar silence does not suspend existing duties. Courts in Nevada have enforced competence and candor obligations against AI misuse without waiting for the advisory group to finish its work — do not treat the absence of a formal opinion as a safe harbor.</w:t>
      </w:r>
    </w:p>
    <w:p>
      <w:pPr>
        <w:spacing w:after="100"/>
      </w:pPr>
      <w:r>
        <w:rPr>
          <w:b/>
          <w:bCs/>
          <w:color w:val="C9A84C"/>
          <w:sz w:val="19"/>
          <w:szCs w:val="19"/>
        </w:rPr>
        <w:t xml:space="preserve">ILLUSTRATIVE SANCTIONS CASE(S)  </w:t>
      </w:r>
      <w:r>
        <w:rPr>
          <w:sz w:val="21"/>
          <w:szCs w:val="21"/>
        </w:rPr>
        <w:t xml:space="preserve">Washoe County, September 2025 — sanctions for a filing containing 14 AI-hallucinated citations. District of Nevada, Feb.–Mar. 2026 — a cluster of sanctions across multiple attorneys, including at least one dismissal with prejudice. The District of Nevada has also issued its own standing order on AI use (First Amended Standing Order and Chambers Practices, Section III, effective January 2026).</w:t>
      </w:r>
    </w:p>
    <w:p>
      <w:pPr>
        <w:pBdr>
          <w:left w:val="single" w:color="C9A84C" w:sz="24" w:space="8"/>
        </w:pBdr>
        <w:shd w:fill="1A1A2E" w:val="clear"/>
        <w:spacing w:after="160" w:before="320"/>
      </w:pPr>
      <w:r>
        <w:rPr>
          <w:b/>
          <w:bCs/>
          <w:color w:val="FFFFFF"/>
          <w:sz w:val="26"/>
          <w:szCs w:val="26"/>
        </w:rPr>
        <w:t xml:space="preserve">OREGON</w:t>
      </w:r>
    </w:p>
    <w:p>
      <w:pPr>
        <w:spacing w:after="100"/>
      </w:pPr>
      <w:r>
        <w:rPr>
          <w:b/>
          <w:bCs/>
          <w:color w:val="C9A84C"/>
          <w:sz w:val="19"/>
          <w:szCs w:val="19"/>
        </w:rPr>
        <w:t xml:space="preserve">STATUS  </w:t>
      </w:r>
      <w:r>
        <w:rPr>
          <w:sz w:val="21"/>
          <w:szCs w:val="21"/>
        </w:rPr>
        <w:t xml:space="preserve">Formal ethics opinion in effect; aggressive judicial enforcement</w:t>
      </w:r>
    </w:p>
    <w:p>
      <w:pPr>
        <w:spacing w:after="100"/>
      </w:pPr>
      <w:r>
        <w:rPr>
          <w:b/>
          <w:bCs/>
          <w:color w:val="C9A84C"/>
          <w:sz w:val="19"/>
          <w:szCs w:val="19"/>
        </w:rPr>
        <w:t xml:space="preserve">GOVERNING AUTHORITY  </w:t>
      </w:r>
      <w:r>
        <w:rPr>
          <w:sz w:val="21"/>
          <w:szCs w:val="21"/>
        </w:rPr>
        <w:t xml:space="preserve">Oregon State Bar Formal Opinion No. 2025-205, aligned with ABA Formal Opinion 512</w:t>
      </w:r>
    </w:p>
    <w:p>
      <w:pPr>
        <w:spacing w:after="100"/>
      </w:pPr>
      <w:r>
        <w:rPr>
          <w:b/>
          <w:bCs/>
          <w:color w:val="C9A84C"/>
          <w:sz w:val="19"/>
          <w:szCs w:val="19"/>
        </w:rPr>
        <w:t xml:space="preserve">KEY OBLIGATIONS  </w:t>
      </w:r>
      <w:r>
        <w:rPr>
          <w:sz w:val="21"/>
          <w:szCs w:val="21"/>
        </w:rPr>
        <w:t xml:space="preserve">Competence requires understanding how the specific AI tool being used actually works, not just how to operate it; independent verification of AI-generated content; confidentiality vetting of AI vendors; reasonable billing that reflects actual time spent, not time notionally saved by AI.</w:t>
      </w:r>
    </w:p>
    <w:p>
      <w:pPr>
        <w:spacing w:after="100"/>
      </w:pPr>
      <w:r>
        <w:rPr>
          <w:b/>
          <w:bCs/>
          <w:color w:val="C9A84C"/>
          <w:sz w:val="19"/>
          <w:szCs w:val="19"/>
        </w:rPr>
        <w:t xml:space="preserve">PRACTICAL POSTURE  </w:t>
      </w:r>
      <w:r>
        <w:rPr>
          <w:sz w:val="21"/>
          <w:szCs w:val="21"/>
        </w:rPr>
        <w:t xml:space="preserve">Oregon has among the most active AI sanctions dockets in the country. Proposed amendments to ORAP 1.40 and 13.25 would further codify sanctions for fabricated law and facts in appellate filings.</w:t>
      </w:r>
    </w:p>
    <w:p>
      <w:pPr>
        <w:spacing w:after="100"/>
      </w:pPr>
      <w:r>
        <w:rPr>
          <w:b/>
          <w:bCs/>
          <w:color w:val="C9A84C"/>
          <w:sz w:val="19"/>
          <w:szCs w:val="19"/>
        </w:rPr>
        <w:t xml:space="preserve">ILLUSTRATIVE SANCTIONS CASE(S)  </w:t>
      </w:r>
      <w:r>
        <w:rPr>
          <w:sz w:val="21"/>
          <w:szCs w:val="21"/>
        </w:rPr>
        <w:t xml:space="preserve">Couvrette v. Wisnovsky — U.S. District Court, District of Oregon: approximately $110,000 in combined sanctions (the largest in Oregon federal court history), claims dismissed with prejudice, for briefs containing 15 fabricated case citations and 8 fabricated quotations across three filings. Doiban v. OLCC — Oregon Court of Appeals, March 2026: $10,000 sanction, a state-court record at the time.</w:t>
      </w:r>
    </w:p>
    <w:p>
      <w:pPr>
        <w:spacing w:before="200"/>
      </w:pPr>
      <w:r>
        <w:t xml:space="preserve"/>
      </w:r>
    </w:p>
    <w:p>
      <w:pPr>
        <w:pBdr>
          <w:top w:val="single" w:color="00B4D8" w:sz="8" w:space="12"/>
          <w:bottom w:val="single" w:color="00B4D8" w:sz="8" w:space="12"/>
        </w:pBdr>
        <w:spacing w:after="300" w:before="100"/>
      </w:pPr>
      <w:r>
        <w:rPr>
          <w:i/>
          <w:iCs/>
          <w:color w:val="1A1A2E"/>
          <w:sz w:val="22"/>
          <w:szCs w:val="22"/>
        </w:rPr>
        <w:t xml:space="preserve">Across all four states, the pattern is consistent: whether guidance is formal (Texas, Oregon), still developing (California), or entirely absent (Nevada), courts have shown they will enforce existing duties of competence and candor against AI misuse regardless of where the bar's rulemaking stands. Waiting for your jurisdiction to catch up is not a compliance strategy.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shd w:fill="1A1A2E" w:val="clear"/>
            <w:tcMar>
              <w:top w:type="dxa" w:w="100"/>
              <w:left w:type="dxa" w:w="100"/>
              <w:bottom w:type="dxa" w:w="100"/>
              <w:right w:type="dxa" w:w="100"/>
            </w:tcMar>
          </w:tcPr>
          <w:p>
            <w:pPr>
              <w:spacing w:after="160" w:before="160"/>
              <w:jc w:val="center"/>
            </w:pPr>
            <w:r>
              <w:rPr>
                <w:rFonts w:ascii="Georgia" w:cs="Georgia" w:eastAsia="Georgia" w:hAnsi="Georgia"/>
                <w:b/>
                <w:bCs/>
                <w:color w:val="C9A84C"/>
                <w:spacing w:val="20"/>
                <w:sz w:val="18"/>
                <w:szCs w:val="18"/>
              </w:rPr>
              <w:t xml:space="preserve">LEX ARCA</w:t>
            </w:r>
            <w:r>
              <w:rPr>
                <w:color w:val="C9A84C"/>
                <w:sz w:val="12"/>
                <w:szCs w:val="12"/>
              </w:rPr>
              <w:t xml:space="preserve">™</w:t>
            </w:r>
            <w:r>
              <w:rPr>
                <w:color w:val="E8E8E8"/>
                <w:sz w:val="16"/>
                <w:szCs w:val="16"/>
              </w:rPr>
              <w:t xml:space="preserve">  LEGAL VAULT   |   lex-arca.com   |   © 2026 Kim M Harris. All rights reserved.</w:t>
            </w:r>
          </w:p>
        </w:tc>
      </w:tr>
    </w:tbl>
    <w:sectPr>
      <w:pgSz w:w="11906" w:h="16838"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2026-08-11T03:00:55.152Z</dcterms:created>
  <dcterms:modified xsi:type="dcterms:W3CDTF">2026-08-11T03:00:55.152Z</dcterms:modified>
</cp:coreProperties>
</file>

<file path=docProps/custom.xml><?xml version="1.0" encoding="utf-8"?>
<Properties xmlns="http://schemas.openxmlformats.org/officeDocument/2006/custom-properties" xmlns:vt="http://schemas.openxmlformats.org/officeDocument/2006/docPropsVTypes"/>
</file>